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763" w:rsidRPr="00361BD9" w:rsidRDefault="008A782B" w:rsidP="00361BD9">
      <w:pPr>
        <w:jc w:val="center"/>
        <w:rPr>
          <w:rFonts w:ascii="Calibri" w:hAnsi="Calibri" w:cs="Calibri"/>
          <w:szCs w:val="24"/>
          <w:u w:val="single"/>
        </w:rPr>
      </w:pPr>
      <w:r w:rsidRPr="00361BD9">
        <w:rPr>
          <w:rFonts w:ascii="Calibri" w:hAnsi="Calibri" w:cs="Calibri"/>
          <w:noProof/>
          <w:sz w:val="36"/>
          <w:szCs w:val="24"/>
          <w:u w:val="single"/>
        </w:rPr>
        <w:drawing>
          <wp:anchor distT="114300" distB="114300" distL="114300" distR="114300" simplePos="0" relativeHeight="251658240" behindDoc="1" locked="0" layoutInCell="0" hidden="0" allowOverlap="0" wp14:anchorId="02876281" wp14:editId="1EDAA676">
            <wp:simplePos x="0" y="0"/>
            <wp:positionH relativeFrom="margin">
              <wp:posOffset>4619625</wp:posOffset>
            </wp:positionH>
            <wp:positionV relativeFrom="paragraph">
              <wp:posOffset>-48895</wp:posOffset>
            </wp:positionV>
            <wp:extent cx="1004570" cy="1034415"/>
            <wp:effectExtent l="0" t="0" r="5080" b="0"/>
            <wp:wrapTight wrapText="bothSides">
              <wp:wrapPolygon edited="0">
                <wp:start x="0" y="0"/>
                <wp:lineTo x="0" y="21083"/>
                <wp:lineTo x="21300" y="21083"/>
                <wp:lineTo x="21300" y="0"/>
                <wp:lineTo x="0" y="0"/>
              </wp:wrapPolygon>
            </wp:wrapTight>
            <wp:docPr id="1" name="image00.jpg" descr="EPHS-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EPHS-Origina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34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687B">
        <w:rPr>
          <w:rFonts w:ascii="Calibri" w:eastAsia="Arial" w:hAnsi="Calibri" w:cs="Calibri"/>
          <w:b/>
          <w:sz w:val="36"/>
          <w:szCs w:val="24"/>
          <w:u w:val="single"/>
        </w:rPr>
        <w:t>A Level</w:t>
      </w:r>
      <w:r w:rsidR="002765DB" w:rsidRPr="00361BD9">
        <w:rPr>
          <w:rFonts w:ascii="Calibri" w:eastAsia="Arial" w:hAnsi="Calibri" w:cs="Calibri"/>
          <w:b/>
          <w:sz w:val="36"/>
          <w:szCs w:val="24"/>
          <w:u w:val="single"/>
        </w:rPr>
        <w:t xml:space="preserve"> </w:t>
      </w:r>
      <w:r w:rsidR="00361BD9">
        <w:rPr>
          <w:rFonts w:ascii="Calibri" w:eastAsia="Arial" w:hAnsi="Calibri" w:cs="Calibri"/>
          <w:b/>
          <w:sz w:val="36"/>
          <w:szCs w:val="24"/>
          <w:u w:val="single"/>
        </w:rPr>
        <w:t>qualification reform</w:t>
      </w:r>
      <w:r w:rsidR="00336E83">
        <w:rPr>
          <w:rFonts w:ascii="Calibri" w:eastAsia="Arial" w:hAnsi="Calibri" w:cs="Calibri"/>
          <w:b/>
          <w:sz w:val="36"/>
          <w:szCs w:val="24"/>
          <w:u w:val="single"/>
        </w:rPr>
        <w:t xml:space="preserve"> 2016</w:t>
      </w:r>
    </w:p>
    <w:p w:rsidR="00DE1763" w:rsidRPr="00361BD9" w:rsidRDefault="00DE1763">
      <w:pPr>
        <w:rPr>
          <w:rFonts w:ascii="Calibri" w:hAnsi="Calibri" w:cs="Calibri"/>
          <w:szCs w:val="24"/>
        </w:rPr>
      </w:pPr>
    </w:p>
    <w:p w:rsidR="00361BD9" w:rsidRPr="00361BD9" w:rsidRDefault="009F6E04" w:rsidP="002436F7">
      <w:pPr>
        <w:jc w:val="both"/>
        <w:rPr>
          <w:rFonts w:ascii="Calibri" w:eastAsia="Arial" w:hAnsi="Calibri" w:cs="Calibri"/>
          <w:szCs w:val="24"/>
        </w:rPr>
      </w:pPr>
      <w:r w:rsidRPr="00361BD9">
        <w:rPr>
          <w:rFonts w:ascii="Calibri" w:eastAsia="Arial" w:hAnsi="Calibri" w:cs="Calibri"/>
          <w:szCs w:val="24"/>
        </w:rPr>
        <w:t xml:space="preserve">This document </w:t>
      </w:r>
      <w:r w:rsidR="002765DB" w:rsidRPr="00361BD9">
        <w:rPr>
          <w:rFonts w:ascii="Calibri" w:eastAsia="Arial" w:hAnsi="Calibri" w:cs="Calibri"/>
          <w:szCs w:val="24"/>
        </w:rPr>
        <w:t>will</w:t>
      </w:r>
      <w:r w:rsidRPr="00361BD9">
        <w:rPr>
          <w:rFonts w:ascii="Calibri" w:eastAsia="Arial" w:hAnsi="Calibri" w:cs="Calibri"/>
          <w:szCs w:val="24"/>
        </w:rPr>
        <w:t xml:space="preserve"> help you understand the national </w:t>
      </w:r>
      <w:r w:rsidR="0009233E">
        <w:rPr>
          <w:rFonts w:ascii="Calibri" w:eastAsia="Arial" w:hAnsi="Calibri" w:cs="Calibri"/>
          <w:szCs w:val="24"/>
        </w:rPr>
        <w:t xml:space="preserve">A Level </w:t>
      </w:r>
      <w:r w:rsidRPr="00361BD9">
        <w:rPr>
          <w:rFonts w:ascii="Calibri" w:eastAsia="Arial" w:hAnsi="Calibri" w:cs="Calibri"/>
          <w:szCs w:val="24"/>
        </w:rPr>
        <w:t xml:space="preserve">changes that </w:t>
      </w:r>
      <w:r w:rsidR="00960C7F">
        <w:rPr>
          <w:rFonts w:ascii="Calibri" w:eastAsia="Arial" w:hAnsi="Calibri" w:cs="Calibri"/>
          <w:szCs w:val="24"/>
        </w:rPr>
        <w:t>came</w:t>
      </w:r>
      <w:r w:rsidR="00361BD9" w:rsidRPr="00361BD9">
        <w:rPr>
          <w:rFonts w:ascii="Calibri" w:eastAsia="Arial" w:hAnsi="Calibri" w:cs="Calibri"/>
          <w:szCs w:val="24"/>
        </w:rPr>
        <w:t xml:space="preserve"> into force in September 2015.</w:t>
      </w:r>
    </w:p>
    <w:p w:rsidR="00361BD9" w:rsidRPr="00361BD9" w:rsidRDefault="00361BD9" w:rsidP="0089687B">
      <w:pPr>
        <w:ind w:left="-389"/>
        <w:jc w:val="both"/>
        <w:rPr>
          <w:rFonts w:ascii="Calibri" w:eastAsia="Arial" w:hAnsi="Calibri" w:cs="Calibri"/>
          <w:szCs w:val="24"/>
        </w:rPr>
      </w:pPr>
    </w:p>
    <w:p w:rsidR="00DE1763" w:rsidRDefault="00186D50" w:rsidP="008A782B">
      <w:pPr>
        <w:jc w:val="both"/>
        <w:rPr>
          <w:rFonts w:ascii="Calibri" w:eastAsia="Arial" w:hAnsi="Calibri" w:cs="Calibri"/>
          <w:szCs w:val="24"/>
        </w:rPr>
      </w:pPr>
      <w:r>
        <w:rPr>
          <w:rFonts w:ascii="Calibri" w:eastAsia="Arial" w:hAnsi="Calibri" w:cs="Calibri"/>
          <w:szCs w:val="24"/>
        </w:rPr>
        <w:t>AS and A Levels are</w:t>
      </w:r>
      <w:r w:rsidR="008A782B">
        <w:rPr>
          <w:rFonts w:ascii="Calibri" w:eastAsia="Arial" w:hAnsi="Calibri" w:cs="Calibri"/>
          <w:szCs w:val="24"/>
        </w:rPr>
        <w:t xml:space="preserve"> </w:t>
      </w:r>
      <w:r w:rsidR="00361BD9" w:rsidRPr="00361BD9">
        <w:rPr>
          <w:rFonts w:ascii="Calibri" w:eastAsia="Arial" w:hAnsi="Calibri" w:cs="Calibri"/>
          <w:szCs w:val="24"/>
        </w:rPr>
        <w:t>being reformed in stages.</w:t>
      </w:r>
    </w:p>
    <w:p w:rsidR="00960C7F" w:rsidRDefault="00960C7F" w:rsidP="0089687B">
      <w:pPr>
        <w:ind w:left="-389"/>
        <w:jc w:val="both"/>
        <w:rPr>
          <w:rFonts w:ascii="Calibri" w:eastAsia="Arial" w:hAnsi="Calibri" w:cs="Calibri"/>
          <w:szCs w:val="24"/>
        </w:rPr>
      </w:pPr>
    </w:p>
    <w:tbl>
      <w:tblPr>
        <w:tblStyle w:val="a"/>
        <w:tblpPr w:leftFromText="180" w:rightFromText="180" w:vertAnchor="page" w:horzAnchor="margin" w:tblpXSpec="right" w:tblpY="3721"/>
        <w:tblW w:w="6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1"/>
        <w:gridCol w:w="3306"/>
      </w:tblGrid>
      <w:tr w:rsidR="00960C7F" w:rsidRPr="002E4050" w:rsidTr="004535FC">
        <w:trPr>
          <w:trHeight w:hRule="exact" w:val="604"/>
        </w:trPr>
        <w:tc>
          <w:tcPr>
            <w:tcW w:w="3011" w:type="dxa"/>
            <w:shd w:val="clear" w:color="auto" w:fill="FFFF99"/>
            <w:vAlign w:val="center"/>
          </w:tcPr>
          <w:p w:rsidR="00960C7F" w:rsidRPr="008A782B" w:rsidRDefault="00960C7F" w:rsidP="004535FC">
            <w:pPr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8A782B">
              <w:rPr>
                <w:rFonts w:ascii="Arial" w:eastAsia="Arial" w:hAnsi="Arial" w:cs="Arial"/>
                <w:b/>
                <w:sz w:val="20"/>
              </w:rPr>
              <w:t xml:space="preserve">Phase One A Level subjects (changed </w:t>
            </w:r>
            <w:r w:rsidR="005F7A76" w:rsidRPr="008A782B">
              <w:rPr>
                <w:rFonts w:ascii="Arial" w:eastAsia="Arial" w:hAnsi="Arial" w:cs="Arial"/>
                <w:b/>
                <w:sz w:val="20"/>
              </w:rPr>
              <w:t xml:space="preserve">Sept </w:t>
            </w:r>
            <w:r w:rsidRPr="008A782B">
              <w:rPr>
                <w:rFonts w:ascii="Arial" w:eastAsia="Arial" w:hAnsi="Arial" w:cs="Arial"/>
                <w:b/>
                <w:sz w:val="20"/>
              </w:rPr>
              <w:t xml:space="preserve">2015)         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8A782B" w:rsidRDefault="00960C7F" w:rsidP="004535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8A782B">
              <w:rPr>
                <w:rFonts w:ascii="Arial" w:eastAsia="Arial" w:hAnsi="Arial" w:cs="Arial"/>
                <w:b/>
                <w:sz w:val="20"/>
              </w:rPr>
              <w:t xml:space="preserve">Phase Two A Level subjects </w:t>
            </w:r>
          </w:p>
          <w:p w:rsidR="00960C7F" w:rsidRPr="008A782B" w:rsidRDefault="00960C7F" w:rsidP="004535FC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2"/>
                <w:highlight w:val="white"/>
              </w:rPr>
            </w:pPr>
            <w:r w:rsidRPr="008A782B">
              <w:rPr>
                <w:rFonts w:ascii="Arial" w:eastAsia="Arial" w:hAnsi="Arial" w:cs="Arial"/>
                <w:b/>
                <w:sz w:val="20"/>
              </w:rPr>
              <w:t xml:space="preserve">(will change </w:t>
            </w:r>
            <w:r w:rsidR="005F7A76" w:rsidRPr="008A782B">
              <w:rPr>
                <w:rFonts w:ascii="Arial" w:eastAsia="Arial" w:hAnsi="Arial" w:cs="Arial"/>
                <w:b/>
                <w:sz w:val="20"/>
              </w:rPr>
              <w:t xml:space="preserve"> Sept </w:t>
            </w:r>
            <w:r w:rsidRPr="008A782B">
              <w:rPr>
                <w:rFonts w:ascii="Arial" w:eastAsia="Arial" w:hAnsi="Arial" w:cs="Arial"/>
                <w:b/>
                <w:sz w:val="20"/>
              </w:rPr>
              <w:t>2016)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2E4050" w:rsidRDefault="0009233E" w:rsidP="004535FC">
            <w:pPr>
              <w:jc w:val="center"/>
              <w:rPr>
                <w:sz w:val="22"/>
                <w:szCs w:val="22"/>
              </w:rPr>
            </w:pPr>
            <w:r w:rsidRPr="005F7A76">
              <w:rPr>
                <w:rFonts w:ascii="Arial" w:eastAsia="Arial" w:hAnsi="Arial" w:cs="Arial"/>
                <w:sz w:val="22"/>
                <w:szCs w:val="22"/>
              </w:rPr>
              <w:t>Philosophy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Biology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French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Spanish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Physics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Geography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3306" w:type="dxa"/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3306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960C7F" w:rsidRPr="00336E83" w:rsidRDefault="00960C7F" w:rsidP="004535FC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336E83">
              <w:rPr>
                <w:rFonts w:ascii="Arial" w:eastAsia="Arial" w:hAnsi="Arial" w:cs="Arial"/>
                <w:sz w:val="22"/>
                <w:szCs w:val="22"/>
              </w:rPr>
              <w:t>Theatre Studies</w:t>
            </w:r>
          </w:p>
        </w:tc>
      </w:tr>
      <w:tr w:rsidR="00960C7F" w:rsidRPr="002E4050" w:rsidTr="004535FC">
        <w:trPr>
          <w:trHeight w:hRule="exact" w:val="732"/>
        </w:trPr>
        <w:tc>
          <w:tcPr>
            <w:tcW w:w="3011" w:type="dxa"/>
            <w:shd w:val="clear" w:color="auto" w:fill="FFFF99"/>
            <w:vAlign w:val="center"/>
          </w:tcPr>
          <w:p w:rsidR="004E2FEB" w:rsidRDefault="00960C7F" w:rsidP="004535FC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 xml:space="preserve">Computer science </w:t>
            </w:r>
          </w:p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3583">
              <w:rPr>
                <w:rFonts w:ascii="Arial" w:eastAsia="Arial" w:hAnsi="Arial" w:cs="Arial"/>
                <w:sz w:val="18"/>
                <w:szCs w:val="22"/>
              </w:rPr>
              <w:t>(formerly computing)</w:t>
            </w:r>
          </w:p>
        </w:tc>
        <w:tc>
          <w:tcPr>
            <w:tcW w:w="3306" w:type="dxa"/>
            <w:shd w:val="clear" w:color="auto" w:fill="FF9900"/>
            <w:vAlign w:val="center"/>
          </w:tcPr>
          <w:p w:rsidR="00960C7F" w:rsidRPr="00336E83" w:rsidRDefault="00960C7F" w:rsidP="004535FC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336E83">
              <w:rPr>
                <w:rFonts w:ascii="Arial" w:eastAsia="Arial" w:hAnsi="Arial" w:cs="Arial"/>
                <w:b/>
                <w:sz w:val="18"/>
                <w:szCs w:val="22"/>
              </w:rPr>
              <w:t>Phase Three (from 2017 – will remain in the old system for those starting Y12 in 2016)</w:t>
            </w:r>
          </w:p>
        </w:tc>
      </w:tr>
      <w:tr w:rsidR="00960C7F" w:rsidRPr="002E4050" w:rsidTr="004535FC">
        <w:trPr>
          <w:trHeight w:hRule="exact" w:val="397"/>
        </w:trPr>
        <w:tc>
          <w:tcPr>
            <w:tcW w:w="3011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3306" w:type="dxa"/>
            <w:tcBorders>
              <w:bottom w:val="single" w:sz="8" w:space="0" w:color="000000"/>
            </w:tcBorders>
            <w:shd w:val="clear" w:color="auto" w:fill="FF9900"/>
            <w:vAlign w:val="center"/>
          </w:tcPr>
          <w:p w:rsidR="00336E83" w:rsidRDefault="0009233E" w:rsidP="004535FC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16"/>
                <w:szCs w:val="22"/>
              </w:rPr>
            </w:pPr>
            <w:r w:rsidRPr="00336E83">
              <w:rPr>
                <w:rFonts w:ascii="Arial" w:eastAsia="Arial" w:hAnsi="Arial" w:cs="Arial"/>
                <w:color w:val="auto"/>
                <w:sz w:val="16"/>
                <w:szCs w:val="22"/>
              </w:rPr>
              <w:t xml:space="preserve">Mathematics </w:t>
            </w:r>
          </w:p>
          <w:p w:rsidR="0009233E" w:rsidRDefault="0009233E" w:rsidP="004535FC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16"/>
                <w:szCs w:val="22"/>
              </w:rPr>
            </w:pPr>
            <w:r w:rsidRPr="00336E83">
              <w:rPr>
                <w:rFonts w:ascii="Arial" w:eastAsia="Arial" w:hAnsi="Arial" w:cs="Arial"/>
                <w:color w:val="auto"/>
                <w:sz w:val="16"/>
                <w:szCs w:val="22"/>
              </w:rPr>
              <w:t>(including Further Mathematics)</w:t>
            </w:r>
          </w:p>
          <w:p w:rsidR="00336E83" w:rsidRPr="00336E83" w:rsidRDefault="00336E83" w:rsidP="004535FC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16"/>
                <w:szCs w:val="22"/>
              </w:rPr>
            </w:pPr>
          </w:p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0C7F" w:rsidRPr="002E4050" w:rsidTr="004535FC">
        <w:trPr>
          <w:trHeight w:hRule="exact" w:val="422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History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960C7F" w:rsidRPr="002E4050" w:rsidRDefault="00960C7F" w:rsidP="00453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050">
              <w:rPr>
                <w:rFonts w:ascii="Arial" w:eastAsia="Arial" w:hAnsi="Arial" w:cs="Arial"/>
                <w:sz w:val="22"/>
                <w:szCs w:val="22"/>
              </w:rPr>
              <w:t>Film Studies</w:t>
            </w:r>
          </w:p>
        </w:tc>
      </w:tr>
    </w:tbl>
    <w:p w:rsidR="00361BD9" w:rsidRPr="00361BD9" w:rsidRDefault="00361BD9" w:rsidP="0089687B">
      <w:pPr>
        <w:jc w:val="both"/>
        <w:rPr>
          <w:rFonts w:ascii="Calibri" w:hAnsi="Calibri" w:cs="Calibri"/>
          <w:szCs w:val="24"/>
        </w:rPr>
      </w:pPr>
      <w:r w:rsidRPr="00361BD9">
        <w:rPr>
          <w:rFonts w:ascii="Calibri" w:hAnsi="Calibri" w:cs="Calibri"/>
          <w:szCs w:val="24"/>
        </w:rPr>
        <w:t>This means a student wishing to study one of the subject</w:t>
      </w:r>
      <w:r w:rsidR="0089687B">
        <w:rPr>
          <w:rFonts w:ascii="Calibri" w:hAnsi="Calibri" w:cs="Calibri"/>
          <w:szCs w:val="24"/>
        </w:rPr>
        <w:t>s</w:t>
      </w:r>
      <w:r w:rsidRPr="00361BD9">
        <w:rPr>
          <w:rFonts w:ascii="Calibri" w:hAnsi="Calibri" w:cs="Calibri"/>
          <w:szCs w:val="24"/>
        </w:rPr>
        <w:t xml:space="preserve"> listed </w:t>
      </w:r>
      <w:r w:rsidR="0009233E">
        <w:rPr>
          <w:rFonts w:ascii="Calibri" w:hAnsi="Calibri" w:cs="Calibri"/>
          <w:szCs w:val="24"/>
        </w:rPr>
        <w:t xml:space="preserve">in phase one or two </w:t>
      </w:r>
      <w:r w:rsidRPr="00361BD9">
        <w:rPr>
          <w:rFonts w:ascii="Calibri" w:hAnsi="Calibri" w:cs="Calibri"/>
          <w:szCs w:val="24"/>
        </w:rPr>
        <w:t>will be examined under a new system. For these subjects there is a significant change to the way that a student will be examined.</w:t>
      </w:r>
    </w:p>
    <w:p w:rsidR="00361BD9" w:rsidRPr="00361BD9" w:rsidRDefault="00361BD9" w:rsidP="0089687B">
      <w:pPr>
        <w:jc w:val="both"/>
        <w:rPr>
          <w:rFonts w:ascii="Calibri" w:hAnsi="Calibri" w:cs="Calibri"/>
          <w:szCs w:val="24"/>
        </w:rPr>
      </w:pPr>
    </w:p>
    <w:p w:rsidR="006C77C4" w:rsidRDefault="00361BD9" w:rsidP="006C77C4">
      <w:pPr>
        <w:jc w:val="both"/>
        <w:rPr>
          <w:rFonts w:ascii="Calibri" w:hAnsi="Calibri" w:cs="Calibri"/>
          <w:szCs w:val="24"/>
        </w:rPr>
      </w:pPr>
      <w:r w:rsidRPr="00361BD9">
        <w:rPr>
          <w:rFonts w:ascii="Calibri" w:hAnsi="Calibri" w:cs="Calibri"/>
          <w:szCs w:val="24"/>
        </w:rPr>
        <w:t>AS levels in the above</w:t>
      </w:r>
      <w:r w:rsidR="006C77C4">
        <w:rPr>
          <w:rFonts w:ascii="Calibri" w:hAnsi="Calibri" w:cs="Calibri"/>
          <w:szCs w:val="24"/>
        </w:rPr>
        <w:t xml:space="preserve"> yellow</w:t>
      </w:r>
      <w:r w:rsidRPr="00361BD9">
        <w:rPr>
          <w:rFonts w:ascii="Calibri" w:hAnsi="Calibri" w:cs="Calibri"/>
          <w:szCs w:val="24"/>
        </w:rPr>
        <w:t xml:space="preserve"> subjects are stand-alone qualifications. The students’ AS grade will no longer contribute to an A level grade.</w:t>
      </w:r>
    </w:p>
    <w:p w:rsidR="00361BD9" w:rsidRPr="005F69C9" w:rsidRDefault="00361BD9" w:rsidP="006C77C4">
      <w:pPr>
        <w:jc w:val="both"/>
        <w:rPr>
          <w:rFonts w:ascii="Calibri" w:hAnsi="Calibri" w:cs="Calibri"/>
          <w:szCs w:val="24"/>
        </w:rPr>
      </w:pPr>
    </w:p>
    <w:p w:rsidR="0009233E" w:rsidRPr="006C77C4" w:rsidRDefault="0009233E" w:rsidP="0089687B">
      <w:pPr>
        <w:spacing w:line="276" w:lineRule="auto"/>
        <w:jc w:val="both"/>
        <w:rPr>
          <w:rFonts w:ascii="Calibri" w:hAnsi="Calibri" w:cs="Calibri"/>
        </w:rPr>
      </w:pPr>
      <w:r w:rsidRPr="006C77C4">
        <w:rPr>
          <w:rFonts w:ascii="Calibri" w:hAnsi="Calibri" w:cs="Calibri"/>
        </w:rPr>
        <w:t>From September 2016 we will</w:t>
      </w:r>
      <w:r w:rsidR="006C77C4" w:rsidRPr="006C77C4">
        <w:rPr>
          <w:rFonts w:ascii="Calibri" w:hAnsi="Calibri" w:cs="Calibri"/>
        </w:rPr>
        <w:t xml:space="preserve"> be offering AS qualifications.</w:t>
      </w:r>
      <w:r w:rsidRPr="006C77C4">
        <w:rPr>
          <w:rFonts w:ascii="Calibri" w:hAnsi="Calibri" w:cs="Calibri"/>
        </w:rPr>
        <w:t xml:space="preserve"> </w:t>
      </w:r>
      <w:r w:rsidR="006C77C4" w:rsidRPr="006C77C4">
        <w:rPr>
          <w:rFonts w:ascii="Calibri" w:hAnsi="Calibri" w:cs="Calibri"/>
        </w:rPr>
        <w:t>Students are able to select subject(s) they wish to take AS qualifications in after the January mocks. They also have to option to ‘drop’ a subject, going from 3 to 4 A subjects for example.</w:t>
      </w:r>
    </w:p>
    <w:p w:rsidR="006C2C2B" w:rsidRPr="0009233E" w:rsidRDefault="006C2C2B" w:rsidP="0089687B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:rsidR="006C2C2B" w:rsidRDefault="008A782B" w:rsidP="006C2C2B">
      <w:pPr>
        <w:spacing w:line="276" w:lineRule="auto"/>
        <w:jc w:val="both"/>
        <w:rPr>
          <w:rFonts w:ascii="Calibri" w:hAnsi="Calibri" w:cs="Calibri"/>
        </w:rPr>
      </w:pPr>
      <w:r w:rsidRPr="0009233E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02E9347" wp14:editId="35D4D293">
            <wp:simplePos x="0" y="0"/>
            <wp:positionH relativeFrom="column">
              <wp:posOffset>-57785</wp:posOffset>
            </wp:positionH>
            <wp:positionV relativeFrom="paragraph">
              <wp:posOffset>115570</wp:posOffset>
            </wp:positionV>
            <wp:extent cx="2728595" cy="2982595"/>
            <wp:effectExtent l="0" t="0" r="0" b="8255"/>
            <wp:wrapTight wrapText="bothSides">
              <wp:wrapPolygon edited="0">
                <wp:start x="0" y="0"/>
                <wp:lineTo x="0" y="21522"/>
                <wp:lineTo x="21414" y="21522"/>
                <wp:lineTo x="21414" y="0"/>
                <wp:lineTo x="0" y="0"/>
              </wp:wrapPolygon>
            </wp:wrapTight>
            <wp:docPr id="17" name="Picture 17" descr="http://www.bedfordsixthform.ac.uk/~/media/tbsf-reform-graphs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dfordsixthform.ac.uk/~/media/tbsf-reform-graphs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2B" w:rsidRPr="006C77C4">
        <w:rPr>
          <w:rFonts w:ascii="Calibri" w:hAnsi="Calibri" w:cs="Calibri"/>
        </w:rPr>
        <w:t xml:space="preserve">At Elthorne students will continue to sit AS level examinations in Film and Mathematics </w:t>
      </w:r>
      <w:r w:rsidR="006C77C4">
        <w:rPr>
          <w:rFonts w:ascii="Calibri" w:hAnsi="Calibri" w:cs="Calibri"/>
        </w:rPr>
        <w:t>for one more year. T</w:t>
      </w:r>
      <w:r w:rsidR="006C2C2B" w:rsidRPr="006C77C4">
        <w:rPr>
          <w:rFonts w:ascii="Calibri" w:hAnsi="Calibri" w:cs="Calibri"/>
        </w:rPr>
        <w:t>his will mean 50% of the exams are completed at the end of year 12 in those subjects</w:t>
      </w:r>
      <w:r w:rsidR="006C77C4">
        <w:rPr>
          <w:rFonts w:ascii="Calibri" w:hAnsi="Calibri" w:cs="Calibri"/>
        </w:rPr>
        <w:t xml:space="preserve"> (see purple bar in the diagram)</w:t>
      </w:r>
      <w:r w:rsidR="006C2C2B" w:rsidRPr="006C77C4">
        <w:rPr>
          <w:rFonts w:ascii="Calibri" w:hAnsi="Calibri" w:cs="Calibri"/>
        </w:rPr>
        <w:t>.</w:t>
      </w:r>
    </w:p>
    <w:p w:rsidR="0009233E" w:rsidRPr="0009233E" w:rsidRDefault="0009233E" w:rsidP="0089687B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:rsidR="004E2FEB" w:rsidRPr="008A782B" w:rsidRDefault="0009233E" w:rsidP="008A782B">
      <w:pPr>
        <w:spacing w:line="276" w:lineRule="auto"/>
        <w:jc w:val="both"/>
        <w:rPr>
          <w:rFonts w:ascii="Calibri" w:hAnsi="Calibri" w:cs="Calibri"/>
        </w:rPr>
      </w:pPr>
      <w:r w:rsidRPr="006C77C4">
        <w:rPr>
          <w:rFonts w:ascii="Calibri" w:hAnsi="Calibri" w:cs="Calibri"/>
        </w:rPr>
        <w:t xml:space="preserve">We anticipate that </w:t>
      </w:r>
      <w:r w:rsidR="006C77C4">
        <w:rPr>
          <w:rFonts w:ascii="Calibri" w:hAnsi="Calibri" w:cs="Calibri"/>
        </w:rPr>
        <w:t xml:space="preserve">most </w:t>
      </w:r>
      <w:r w:rsidRPr="006C77C4">
        <w:rPr>
          <w:rFonts w:ascii="Calibri" w:hAnsi="Calibri" w:cs="Calibri"/>
        </w:rPr>
        <w:t>students will start with 4 subjects and select one subject to drop after the mock exams. This way the student can make an informed decision as to their weakest subject.</w:t>
      </w:r>
      <w:r w:rsidR="006C2C2B" w:rsidRPr="006C77C4">
        <w:rPr>
          <w:rFonts w:ascii="Calibri" w:hAnsi="Calibri" w:cs="Calibri"/>
        </w:rPr>
        <w:t xml:space="preserve"> </w:t>
      </w:r>
      <w:r w:rsidR="006C77C4">
        <w:rPr>
          <w:rFonts w:ascii="Calibri" w:hAnsi="Calibri" w:cs="Calibri"/>
        </w:rPr>
        <w:t>We advise at least one AS is taken to demonstrate good performance in exams to universities. This will often be the strongest subject.</w:t>
      </w:r>
      <w:r w:rsidR="009D48F7">
        <w:rPr>
          <w:rFonts w:ascii="Calibri" w:hAnsi="Calibri" w:cs="Calibri"/>
        </w:rPr>
        <w:t xml:space="preserve"> Students will not have to take AS qualifications in all subjects.</w:t>
      </w:r>
    </w:p>
    <w:p w:rsidR="004E2FEB" w:rsidRPr="006126F7" w:rsidRDefault="004E2FEB" w:rsidP="006126F7">
      <w:pPr>
        <w:spacing w:line="276" w:lineRule="auto"/>
        <w:jc w:val="both"/>
        <w:rPr>
          <w:rFonts w:ascii="Calibri" w:eastAsia="Arial" w:hAnsi="Calibri" w:cs="Calibri"/>
        </w:rPr>
      </w:pPr>
    </w:p>
    <w:sectPr w:rsidR="004E2FEB" w:rsidRPr="006126F7" w:rsidSect="00896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EB" w:rsidRDefault="004E2FEB" w:rsidP="001A5428">
      <w:r>
        <w:separator/>
      </w:r>
    </w:p>
  </w:endnote>
  <w:endnote w:type="continuationSeparator" w:id="0">
    <w:p w:rsidR="004E2FEB" w:rsidRDefault="004E2FEB" w:rsidP="001A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Default="004E2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Pr="001A5428" w:rsidRDefault="004E2FEB">
    <w:pPr>
      <w:pStyle w:val="Footer"/>
      <w:rPr>
        <w:rFonts w:ascii="Calibri" w:hAnsi="Calibri" w:cs="Calibri"/>
      </w:rPr>
    </w:pPr>
    <w:r w:rsidRPr="001A5428">
      <w:rPr>
        <w:rFonts w:ascii="Calibri" w:hAnsi="Calibri" w:cs="Calibri"/>
      </w:rPr>
      <w:t xml:space="preserve">Elthorne Park </w:t>
    </w:r>
  </w:p>
  <w:p w:rsidR="004E2FEB" w:rsidRDefault="004E2FEB">
    <w:pPr>
      <w:pStyle w:val="Footer"/>
    </w:pPr>
    <w:r w:rsidRPr="001A5428">
      <w:rPr>
        <w:rFonts w:ascii="Calibri" w:hAnsi="Calibri" w:cs="Calibri"/>
      </w:rPr>
      <w:t>Sixth Form</w:t>
    </w:r>
    <w:r w:rsidRPr="001A5428">
      <w:rPr>
        <w:rFonts w:ascii="Calibri" w:hAnsi="Calibri" w:cs="Calibri"/>
      </w:rPr>
      <w:ptab w:relativeTo="margin" w:alignment="center" w:leader="none"/>
    </w:r>
    <w:r w:rsidRPr="001A5428">
      <w:rPr>
        <w:rFonts w:ascii="Calibri" w:hAnsi="Calibri" w:cs="Calibri"/>
      </w:rPr>
      <w:t>“Achieving Excellence in a learning community”</w:t>
    </w:r>
    <w:r w:rsidRPr="001A5428">
      <w:rPr>
        <w:rFonts w:ascii="Calibri" w:hAnsi="Calibri" w:cs="Calibri"/>
      </w:rPr>
      <w:ptab w:relativeTo="margin" w:alignment="right" w:leader="none"/>
    </w:r>
    <w:r w:rsidR="007A7FBA">
      <w:rPr>
        <w:rFonts w:ascii="Calibri" w:hAnsi="Calibri" w:cs="Calibri"/>
      </w:rP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Default="004E2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EB" w:rsidRDefault="004E2FEB" w:rsidP="001A5428">
      <w:r>
        <w:separator/>
      </w:r>
    </w:p>
  </w:footnote>
  <w:footnote w:type="continuationSeparator" w:id="0">
    <w:p w:rsidR="004E2FEB" w:rsidRDefault="004E2FEB" w:rsidP="001A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Default="004E2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Default="004E2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EB" w:rsidRDefault="004E2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E4"/>
    <w:multiLevelType w:val="hybridMultilevel"/>
    <w:tmpl w:val="0A18A320"/>
    <w:lvl w:ilvl="0" w:tplc="5CE8C9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1763"/>
    <w:rsid w:val="0009233E"/>
    <w:rsid w:val="001138CB"/>
    <w:rsid w:val="00184E9E"/>
    <w:rsid w:val="00186D50"/>
    <w:rsid w:val="001A5428"/>
    <w:rsid w:val="002436F7"/>
    <w:rsid w:val="002765DB"/>
    <w:rsid w:val="0028633E"/>
    <w:rsid w:val="002E4050"/>
    <w:rsid w:val="003276E0"/>
    <w:rsid w:val="00336E83"/>
    <w:rsid w:val="00361BD9"/>
    <w:rsid w:val="003F7D2A"/>
    <w:rsid w:val="00441DC4"/>
    <w:rsid w:val="004535FC"/>
    <w:rsid w:val="004E2FEB"/>
    <w:rsid w:val="005F55EF"/>
    <w:rsid w:val="005F69C9"/>
    <w:rsid w:val="005F7A76"/>
    <w:rsid w:val="006126F7"/>
    <w:rsid w:val="00654E71"/>
    <w:rsid w:val="00664361"/>
    <w:rsid w:val="006C2C2B"/>
    <w:rsid w:val="006C77C4"/>
    <w:rsid w:val="0071371A"/>
    <w:rsid w:val="00725082"/>
    <w:rsid w:val="00744A6F"/>
    <w:rsid w:val="007A7FBA"/>
    <w:rsid w:val="007C4BDD"/>
    <w:rsid w:val="00813C0D"/>
    <w:rsid w:val="00891D5E"/>
    <w:rsid w:val="0089687B"/>
    <w:rsid w:val="008A782B"/>
    <w:rsid w:val="00960C7F"/>
    <w:rsid w:val="009D48F7"/>
    <w:rsid w:val="009F6E04"/>
    <w:rsid w:val="00AB793E"/>
    <w:rsid w:val="00B43583"/>
    <w:rsid w:val="00BA78AF"/>
    <w:rsid w:val="00C3180B"/>
    <w:rsid w:val="00CE67B5"/>
    <w:rsid w:val="00D60D77"/>
    <w:rsid w:val="00D73031"/>
    <w:rsid w:val="00DE1763"/>
    <w:rsid w:val="00E22DB5"/>
    <w:rsid w:val="00F23F65"/>
    <w:rsid w:val="00FA359E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A3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28"/>
  </w:style>
  <w:style w:type="paragraph" w:styleId="Footer">
    <w:name w:val="footer"/>
    <w:basedOn w:val="Normal"/>
    <w:link w:val="FooterChar"/>
    <w:uiPriority w:val="99"/>
    <w:unhideWhenUsed/>
    <w:rsid w:val="001A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28"/>
  </w:style>
  <w:style w:type="paragraph" w:styleId="ListParagraph">
    <w:name w:val="List Paragraph"/>
    <w:basedOn w:val="Normal"/>
    <w:uiPriority w:val="34"/>
    <w:qFormat/>
    <w:rsid w:val="00D60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FEB"/>
    <w:pPr>
      <w:spacing w:before="100" w:beforeAutospacing="1" w:after="100" w:afterAutospacing="1"/>
    </w:pPr>
    <w:rPr>
      <w:rFonts w:ascii="Times" w:hAnsi="Times" w:cs="Times New Roman"/>
      <w:color w:val="auto"/>
      <w:sz w:val="20"/>
      <w:lang w:eastAsia="en-US"/>
    </w:rPr>
  </w:style>
  <w:style w:type="paragraph" w:customStyle="1" w:styleId="pullquote">
    <w:name w:val="pullquote"/>
    <w:basedOn w:val="Normal"/>
    <w:rsid w:val="004E2FEB"/>
    <w:pPr>
      <w:spacing w:before="100" w:beforeAutospacing="1" w:after="100" w:afterAutospacing="1"/>
    </w:pPr>
    <w:rPr>
      <w:rFonts w:ascii="Times" w:hAnsi="Times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A3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28"/>
  </w:style>
  <w:style w:type="paragraph" w:styleId="Footer">
    <w:name w:val="footer"/>
    <w:basedOn w:val="Normal"/>
    <w:link w:val="FooterChar"/>
    <w:uiPriority w:val="99"/>
    <w:unhideWhenUsed/>
    <w:rsid w:val="001A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28"/>
  </w:style>
  <w:style w:type="paragraph" w:styleId="ListParagraph">
    <w:name w:val="List Paragraph"/>
    <w:basedOn w:val="Normal"/>
    <w:uiPriority w:val="34"/>
    <w:qFormat/>
    <w:rsid w:val="00D60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FEB"/>
    <w:pPr>
      <w:spacing w:before="100" w:beforeAutospacing="1" w:after="100" w:afterAutospacing="1"/>
    </w:pPr>
    <w:rPr>
      <w:rFonts w:ascii="Times" w:hAnsi="Times" w:cs="Times New Roman"/>
      <w:color w:val="auto"/>
      <w:sz w:val="20"/>
      <w:lang w:eastAsia="en-US"/>
    </w:rPr>
  </w:style>
  <w:style w:type="paragraph" w:customStyle="1" w:styleId="pullquote">
    <w:name w:val="pullquote"/>
    <w:basedOn w:val="Normal"/>
    <w:rsid w:val="004E2FEB"/>
    <w:pPr>
      <w:spacing w:before="100" w:beforeAutospacing="1" w:after="100" w:afterAutospacing="1"/>
    </w:pPr>
    <w:rPr>
      <w:rFonts w:ascii="Times" w:hAnsi="Times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74398281</Template>
  <TotalTime>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Levels and BTECs are changing.docx</vt:lpstr>
    </vt:vector>
  </TitlesOfParts>
  <Company>RM plc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Levels and BTECs are changing.docx</dc:title>
  <dc:creator>V Wells</dc:creator>
  <cp:lastModifiedBy>C Bussetti</cp:lastModifiedBy>
  <cp:revision>16</cp:revision>
  <cp:lastPrinted>2014-11-17T12:28:00Z</cp:lastPrinted>
  <dcterms:created xsi:type="dcterms:W3CDTF">2015-09-25T07:00:00Z</dcterms:created>
  <dcterms:modified xsi:type="dcterms:W3CDTF">2015-11-18T13:01:00Z</dcterms:modified>
</cp:coreProperties>
</file>